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CF" w:rsidRDefault="00EE67CF" w:rsidP="00EE67CF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inline distT="114300" distB="114300" distL="114300" distR="114300" wp14:anchorId="4C70674E" wp14:editId="0F37E6CB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7CF" w:rsidRDefault="00EE67CF" w:rsidP="00EE67CF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</w:t>
      </w:r>
      <w:proofErr w:type="gramStart"/>
      <w:r>
        <w:rPr>
          <w:rFonts w:ascii="Garamond" w:eastAsia="Garamond" w:hAnsi="Garamond" w:cs="Garamond"/>
          <w:sz w:val="28"/>
          <w:szCs w:val="28"/>
        </w:rPr>
        <w:t>“ 44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/10)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507 od 25.januara 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EE67CF" w:rsidRDefault="00EE67CF" w:rsidP="00EE67C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07</w:t>
      </w:r>
      <w:r>
        <w:rPr>
          <w:rFonts w:ascii="Garamond" w:eastAsia="Garamond" w:hAnsi="Garamond" w:cs="Garamond"/>
          <w:b/>
          <w:sz w:val="28"/>
          <w:szCs w:val="28"/>
        </w:rPr>
        <w:t>/22</w:t>
      </w:r>
    </w:p>
    <w:p w:rsidR="00EE67CF" w:rsidRDefault="00EE67CF" w:rsidP="00EE67CF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” </w:t>
      </w:r>
    </w:p>
    <w:p w:rsidR="00EE67CF" w:rsidRDefault="00EE67CF" w:rsidP="00EE67CF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EE67CF" w:rsidRDefault="00EE67CF" w:rsidP="00EE67CF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nalazi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Bratstva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jedinstva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KP 4373/1 KO Podgorica III, 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trgovine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ugostiteljske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djelatnosti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osim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one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zahtijeva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dimnjaka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pripremu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hrane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 </w:t>
      </w:r>
      <w:r>
        <w:rPr>
          <w:rFonts w:ascii="Garamond" w:eastAsia="Garamond" w:hAnsi="Garamond" w:cs="Garamond"/>
          <w:sz w:val="28"/>
          <w:szCs w:val="28"/>
        </w:rPr>
        <w:tab/>
      </w:r>
    </w:p>
    <w:p w:rsidR="00EE67CF" w:rsidRDefault="00EE67CF" w:rsidP="00EE6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1" w:name="_heading=h.30j0zll" w:colFirst="0" w:colLast="0"/>
      <w:bookmarkEnd w:id="1"/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4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18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>/m</w:t>
      </w:r>
      <w:r>
        <w:rPr>
          <w:rFonts w:ascii="Garamond" w:eastAsia="Garamond" w:hAnsi="Garamond" w:cs="Garamond"/>
          <w:sz w:val="28"/>
          <w:szCs w:val="28"/>
        </w:rPr>
        <w:t xml:space="preserve">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m²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obračunatog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U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voda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dr.).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kontrolnim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brojilima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isti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će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obračunavati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kao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posebni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troškovi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osnovu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obračunatog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utroška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električne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energije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drugo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Dimenzije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izgled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tehnički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opis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privremenog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definisani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10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Podgorica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da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tenders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ke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07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08.00 do 14.00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red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07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r>
        <w:rPr>
          <w:rFonts w:ascii="Garamond" w:eastAsia="Garamond" w:hAnsi="Garamond" w:cs="Garamond"/>
          <w:sz w:val="28"/>
          <w:szCs w:val="28"/>
        </w:rPr>
        <w:t>13.04.</w:t>
      </w:r>
      <w:r>
        <w:rPr>
          <w:rFonts w:ascii="Garamond" w:eastAsia="Garamond" w:hAnsi="Garamond" w:cs="Garamond"/>
          <w:sz w:val="28"/>
          <w:szCs w:val="28"/>
        </w:rPr>
        <w:t xml:space="preserve">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07.00 do 14.45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8518EC">
        <w:rPr>
          <w:rFonts w:ascii="Garamond" w:eastAsia="Garamond" w:hAnsi="Garamond" w:cs="Garamond"/>
          <w:sz w:val="28"/>
          <w:szCs w:val="28"/>
        </w:rPr>
        <w:t>20</w:t>
      </w:r>
      <w:r>
        <w:rPr>
          <w:rFonts w:ascii="Garamond" w:eastAsia="Garamond" w:hAnsi="Garamond" w:cs="Garamond"/>
          <w:sz w:val="28"/>
          <w:szCs w:val="28"/>
        </w:rPr>
        <w:t>.04.</w:t>
      </w:r>
      <w:r>
        <w:rPr>
          <w:rFonts w:ascii="Garamond" w:eastAsia="Garamond" w:hAnsi="Garamond" w:cs="Garamond"/>
          <w:sz w:val="28"/>
          <w:szCs w:val="28"/>
        </w:rPr>
        <w:t xml:space="preserve">2022.godine u 10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</w:t>
      </w:r>
      <w:r w:rsidR="008518EC">
        <w:rPr>
          <w:rFonts w:ascii="Garamond" w:eastAsia="Garamond" w:hAnsi="Garamond" w:cs="Garamond"/>
          <w:sz w:val="28"/>
          <w:szCs w:val="28"/>
        </w:rPr>
        <w:t>jace”d.o.o</w:t>
      </w:r>
      <w:proofErr w:type="spellEnd"/>
      <w:r w:rsidR="008518EC"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 w:rsidR="008518EC">
        <w:rPr>
          <w:rFonts w:ascii="Garamond" w:eastAsia="Garamond" w:hAnsi="Garamond" w:cs="Garamond"/>
          <w:sz w:val="28"/>
          <w:szCs w:val="28"/>
        </w:rPr>
        <w:t>ulici</w:t>
      </w:r>
      <w:proofErr w:type="spellEnd"/>
      <w:r w:rsidR="008518E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518EC"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-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nivou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organa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E67CF" w:rsidRDefault="00EE67CF" w:rsidP="00EE67CF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garanciju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200</w:t>
      </w:r>
      <w:proofErr w:type="gramStart"/>
      <w:r>
        <w:rPr>
          <w:rFonts w:ascii="Garamond" w:eastAsia="Garamond" w:hAnsi="Garamond" w:cs="Garamond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depoz</w:t>
      </w:r>
      <w:r>
        <w:rPr>
          <w:rFonts w:ascii="Garamond" w:eastAsia="Garamond" w:hAnsi="Garamond" w:cs="Garamond"/>
          <w:b/>
          <w:sz w:val="28"/>
          <w:szCs w:val="28"/>
        </w:rPr>
        <w:t>it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07</w:t>
      </w:r>
      <w:r>
        <w:rPr>
          <w:rFonts w:ascii="Garamond" w:eastAsia="Garamond" w:hAnsi="Garamond" w:cs="Garamond"/>
          <w:b/>
          <w:sz w:val="28"/>
          <w:szCs w:val="28"/>
        </w:rPr>
        <w:t xml:space="preserve">/22“. 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</w:p>
    <w:p w:rsidR="00EE67CF" w:rsidRDefault="00EE67CF" w:rsidP="00EE67CF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Prvorangirana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dobija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100 </w:t>
      </w:r>
      <w:proofErr w:type="spellStart"/>
      <w:r>
        <w:rPr>
          <w:rFonts w:ascii="Garamond" w:hAnsi="Garamond"/>
          <w:color w:val="000000"/>
          <w:sz w:val="28"/>
          <w:szCs w:val="28"/>
        </w:rPr>
        <w:t>bodova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>
        <w:rPr>
          <w:rFonts w:ascii="Garamond" w:hAnsi="Garamond"/>
          <w:color w:val="000000"/>
          <w:sz w:val="28"/>
          <w:szCs w:val="28"/>
        </w:rPr>
        <w:t>ostale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proporcionalni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bodova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prvorangiranu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ponudu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8518EC">
        <w:rPr>
          <w:rFonts w:ascii="Garamond" w:eastAsia="Garamond" w:hAnsi="Garamond" w:cs="Garamond"/>
          <w:sz w:val="28"/>
          <w:szCs w:val="28"/>
        </w:rPr>
        <w:t>20</w:t>
      </w:r>
      <w:bookmarkStart w:id="3" w:name="_GoBack"/>
      <w:bookmarkEnd w:id="3"/>
      <w:r>
        <w:rPr>
          <w:rFonts w:ascii="Garamond" w:eastAsia="Garamond" w:hAnsi="Garamond" w:cs="Garamond"/>
          <w:sz w:val="28"/>
          <w:szCs w:val="28"/>
        </w:rPr>
        <w:t>.04.2022.godine u 10.05h.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E67CF" w:rsidRDefault="00EE67CF" w:rsidP="00EE67CF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dužan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8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prijema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utvrđivanju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rang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liste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(3D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prikaz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izgled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opis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materijala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drugo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urađeno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skladu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tenderskom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dokumentacijom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mišljenje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Glavni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gradski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arhitekta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Nakon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od 12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mogućnošću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3(tri)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pod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uslovima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ispuni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uslove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konkretnu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podizanja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obilaska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020 625 424,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E67CF" w:rsidRDefault="00EE67CF" w:rsidP="00EE67C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EE67CF" w:rsidRDefault="00EE67CF" w:rsidP="00EE67CF"/>
    <w:p w:rsidR="00EE67CF" w:rsidRDefault="00EE67CF" w:rsidP="00EE67CF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778F4" w:rsidRDefault="008518EC"/>
    <w:sectPr w:rsidR="00F778F4" w:rsidSect="00226A79">
      <w:pgSz w:w="10995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E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905CBA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F"/>
    <w:rsid w:val="00404B55"/>
    <w:rsid w:val="005D162C"/>
    <w:rsid w:val="00624E5D"/>
    <w:rsid w:val="006B7DCE"/>
    <w:rsid w:val="008518EC"/>
    <w:rsid w:val="009C3189"/>
    <w:rsid w:val="00E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088AE-F127-4A53-94E8-EBD3E09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89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cp:lastPrinted>2022-04-12T13:22:00Z</cp:lastPrinted>
  <dcterms:created xsi:type="dcterms:W3CDTF">2022-04-12T12:43:00Z</dcterms:created>
  <dcterms:modified xsi:type="dcterms:W3CDTF">2022-04-12T13:28:00Z</dcterms:modified>
</cp:coreProperties>
</file>