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C" w:rsidRDefault="009379C5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114300" distB="114300" distL="114300" distR="114300">
            <wp:extent cx="1875161" cy="5191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515" w:rsidRDefault="00107550" w:rsidP="0004030E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3110 </w:t>
      </w:r>
      <w:proofErr w:type="spellStart"/>
      <w:r w:rsidR="001E2CC5" w:rsidRPr="00F017CF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1E2CC5" w:rsidRPr="00F017CF">
        <w:rPr>
          <w:rFonts w:ascii="Garamond" w:hAnsi="Garamond"/>
          <w:color w:val="000000"/>
          <w:sz w:val="28"/>
          <w:szCs w:val="28"/>
        </w:rPr>
        <w:t xml:space="preserve"> 20.04.2021.godine</w:t>
      </w:r>
      <w:r>
        <w:rPr>
          <w:rFonts w:ascii="Garamond" w:eastAsia="Garamond" w:hAnsi="Garamond" w:cs="Garamond"/>
          <w:sz w:val="28"/>
          <w:szCs w:val="28"/>
        </w:rPr>
        <w:t>,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892515" w:rsidRDefault="00625E10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05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9379C5" w:rsidRDefault="009379C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proofErr w:type="gram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poslovnih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prostora</w:t>
      </w:r>
      <w:proofErr w:type="spellEnd"/>
    </w:p>
    <w:p w:rsidR="00892515" w:rsidRDefault="008D10F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>” – I sprat</w:t>
      </w:r>
      <w:r w:rsidR="0050357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03579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0357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379C5">
        <w:rPr>
          <w:rFonts w:ascii="Garamond" w:eastAsia="Garamond" w:hAnsi="Garamond" w:cs="Garamond"/>
          <w:sz w:val="28"/>
          <w:szCs w:val="28"/>
        </w:rPr>
        <w:t>poslovnih</w:t>
      </w:r>
      <w:proofErr w:type="spellEnd"/>
      <w:r w:rsidR="009379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379C5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9379C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503579">
        <w:rPr>
          <w:rFonts w:ascii="Garamond" w:eastAsia="Garamond" w:hAnsi="Garamond" w:cs="Garamond"/>
          <w:sz w:val="28"/>
          <w:szCs w:val="28"/>
        </w:rPr>
        <w:t>Tržnici</w:t>
      </w:r>
      <w:proofErr w:type="spellEnd"/>
      <w:r w:rsidR="00503579">
        <w:rPr>
          <w:rFonts w:ascii="Garamond" w:eastAsia="Garamond" w:hAnsi="Garamond" w:cs="Garamond"/>
          <w:sz w:val="28"/>
          <w:szCs w:val="28"/>
        </w:rPr>
        <w:t xml:space="preserve"> “Forum”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1E2CC5" w:rsidRDefault="001E2C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503579" w:rsidRPr="009379C5" w:rsidRDefault="00503579" w:rsidP="009379C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:rsidR="007C5E9B" w:rsidRPr="001E1FEB" w:rsidRDefault="00F017CF" w:rsidP="001E1F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 w:rsidR="001E1FEB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</w:t>
      </w:r>
      <w:r w:rsidR="001E1FEB" w:rsidRPr="001E1FEB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A1 </w:t>
      </w:r>
      <w:proofErr w:type="spellStart"/>
      <w:r w:rsidR="001E1FEB" w:rsidRP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9,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</w:t>
      </w:r>
      <w:r w:rsidR="001E1FEB" w:rsidRPr="001E1FEB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A1 </w:t>
      </w:r>
      <w:proofErr w:type="spellStart"/>
      <w:r w:rsidR="001E1FEB" w:rsidRP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10,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</w:t>
      </w:r>
      <w:r w:rsidR="001E1FEB" w:rsidRPr="001E1FEB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A2 </w:t>
      </w:r>
      <w:proofErr w:type="spellStart"/>
      <w:r w:rsidR="001E1FEB" w:rsidRP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3</w:t>
      </w:r>
      <w:r w:rsidR="001E1FE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A2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11</w:t>
      </w:r>
      <w:r w:rsidR="001E1FEB" w:rsidRPr="001E1FE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</w:t>
      </w:r>
      <w:r w:rsidR="001E1FEB" w:rsidRPr="001E1FEB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A3 </w:t>
      </w:r>
      <w:proofErr w:type="spellStart"/>
      <w:r w:rsidR="001E1FEB" w:rsidRP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10,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</w:t>
      </w:r>
      <w:r w:rsidR="001E1FEB" w:rsidRPr="001E1FEB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A3 </w:t>
      </w:r>
      <w:proofErr w:type="spellStart"/>
      <w:r w:rsidR="001E1FEB" w:rsidRP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 w:rsidRPr="001E1FEB">
        <w:rPr>
          <w:rFonts w:ascii="Garamond" w:hAnsi="Garamond"/>
          <w:color w:val="000000"/>
          <w:sz w:val="28"/>
          <w:szCs w:val="28"/>
        </w:rPr>
        <w:t xml:space="preserve"> 11,</w:t>
      </w:r>
      <w:r w:rsidR="001E1FEB">
        <w:rPr>
          <w:rFonts w:ascii="Garamond" w:hAnsi="Garamond"/>
          <w:color w:val="000000"/>
          <w:sz w:val="28"/>
          <w:szCs w:val="28"/>
        </w:rPr>
        <w:t xml:space="preserve"> </w:t>
      </w:r>
      <w:r w:rsidR="00661C0A">
        <w:rPr>
          <w:rFonts w:ascii="Garamond" w:hAnsi="Garamond"/>
          <w:color w:val="000000"/>
          <w:sz w:val="28"/>
          <w:szCs w:val="28"/>
        </w:rPr>
        <w:t xml:space="preserve">A3 </w:t>
      </w:r>
      <w:proofErr w:type="spellStart"/>
      <w:r w:rsidR="00661C0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61C0A">
        <w:rPr>
          <w:rFonts w:ascii="Garamond" w:hAnsi="Garamond"/>
          <w:color w:val="000000"/>
          <w:sz w:val="28"/>
          <w:szCs w:val="28"/>
        </w:rPr>
        <w:t xml:space="preserve"> 15, A3 </w:t>
      </w:r>
      <w:proofErr w:type="spellStart"/>
      <w:r w:rsidR="00661C0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61C0A">
        <w:rPr>
          <w:rFonts w:ascii="Garamond" w:hAnsi="Garamond"/>
          <w:color w:val="000000"/>
          <w:sz w:val="28"/>
          <w:szCs w:val="28"/>
        </w:rPr>
        <w:t xml:space="preserve"> 16,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11,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 w:rsidR="001E1F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1E1FEB">
        <w:rPr>
          <w:rFonts w:ascii="Garamond" w:hAnsi="Garamond"/>
          <w:color w:val="000000"/>
          <w:sz w:val="28"/>
          <w:szCs w:val="28"/>
        </w:rPr>
        <w:t xml:space="preserve"> 12.</w:t>
      </w:r>
      <w:r w:rsidR="001E1FEB" w:rsidRPr="001E1FEB">
        <w:rPr>
          <w:rFonts w:ascii="Garamond" w:hAnsi="Garamond"/>
          <w:color w:val="000000"/>
          <w:sz w:val="28"/>
          <w:szCs w:val="28"/>
        </w:rPr>
        <w:t xml:space="preserve"> </w:t>
      </w:r>
    </w:p>
    <w:p w:rsidR="00F017CF" w:rsidRDefault="00F017CF" w:rsidP="009379C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Garamond" w:hAnsi="Garamond"/>
          <w:sz w:val="28"/>
          <w:szCs w:val="28"/>
        </w:rPr>
      </w:pP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</w:t>
      </w:r>
      <w:proofErr w:type="gram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,20</w:t>
      </w:r>
      <w:proofErr w:type="gramEnd"/>
      <w:r w:rsidRPr="007C5E9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Pr="007C5E9B">
        <w:rPr>
          <w:rFonts w:ascii="Garamond" w:hAnsi="Garamond"/>
          <w:b/>
          <w:sz w:val="28"/>
          <w:szCs w:val="28"/>
        </w:rPr>
        <w:t>,</w:t>
      </w:r>
      <w:r w:rsidRPr="007C5E9B">
        <w:rPr>
          <w:rFonts w:ascii="Garamond" w:hAnsi="Garamond"/>
          <w:b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na</w:t>
      </w:r>
      <w:proofErr w:type="spellEnd"/>
      <w:r w:rsidRPr="007C5E9B"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mjesečnom</w:t>
      </w:r>
      <w:proofErr w:type="spellEnd"/>
      <w:r w:rsidRPr="007C5E9B"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nivou</w:t>
      </w:r>
      <w:proofErr w:type="spellEnd"/>
      <w:r w:rsidRPr="007C5E9B">
        <w:rPr>
          <w:rFonts w:ascii="Garamond" w:hAnsi="Garamond"/>
          <w:sz w:val="28"/>
          <w:szCs w:val="28"/>
        </w:rPr>
        <w:t xml:space="preserve">. </w:t>
      </w:r>
    </w:p>
    <w:p w:rsidR="001E1FEB" w:rsidRDefault="001E1FEB" w:rsidP="001E1FE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E1FEB" w:rsidRPr="009379C5" w:rsidRDefault="001E1FEB" w:rsidP="001E1FE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F017CF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 xml:space="preserve">: </w:t>
      </w:r>
      <w:proofErr w:type="spellStart"/>
      <w:r w:rsidR="00E6562F">
        <w:rPr>
          <w:rFonts w:ascii="Garamond" w:hAnsi="Garamond"/>
          <w:color w:val="000000"/>
          <w:sz w:val="28"/>
          <w:szCs w:val="28"/>
        </w:rPr>
        <w:t>sek</w:t>
      </w:r>
      <w:r w:rsidR="00652FB6" w:rsidRPr="00E6562F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="00652FB6" w:rsidRPr="00E6562F">
        <w:rPr>
          <w:rFonts w:ascii="Garamond" w:hAnsi="Garamond"/>
          <w:color w:val="000000"/>
          <w:sz w:val="28"/>
          <w:szCs w:val="28"/>
        </w:rPr>
        <w:t xml:space="preserve"> B3</w:t>
      </w:r>
      <w:r w:rsidR="00E6562F" w:rsidRPr="00E6562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6562F" w:rsidRPr="00E6562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E6562F" w:rsidRPr="00E6562F">
        <w:rPr>
          <w:rFonts w:ascii="Garamond" w:hAnsi="Garamond"/>
          <w:color w:val="000000"/>
          <w:sz w:val="28"/>
          <w:szCs w:val="28"/>
        </w:rPr>
        <w:t xml:space="preserve"> 12</w:t>
      </w:r>
      <w:r w:rsidR="00E6562F">
        <w:rPr>
          <w:rFonts w:ascii="Garamond" w:hAnsi="Garamond"/>
          <w:b/>
          <w:color w:val="000000"/>
          <w:sz w:val="28"/>
          <w:szCs w:val="28"/>
        </w:rPr>
        <w:t xml:space="preserve">,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14, </w:t>
      </w:r>
      <w:proofErr w:type="gramStart"/>
      <w:r w:rsidRPr="00F017CF">
        <w:rPr>
          <w:rFonts w:ascii="Garamond" w:hAnsi="Garamond"/>
          <w:color w:val="000000"/>
          <w:sz w:val="28"/>
          <w:szCs w:val="28"/>
        </w:rPr>
        <w:t>C3</w:t>
      </w:r>
      <w:proofErr w:type="gram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15. </w:t>
      </w:r>
    </w:p>
    <w:p w:rsidR="001E1FEB" w:rsidRPr="00F017CF" w:rsidRDefault="001E1FEB" w:rsidP="009379C5">
      <w:pPr>
        <w:spacing w:line="240" w:lineRule="auto"/>
        <w:ind w:left="720" w:firstLine="72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</w:t>
      </w:r>
      <w:proofErr w:type="gram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,80</w:t>
      </w:r>
      <w:proofErr w:type="gramEnd"/>
      <w:r w:rsidRPr="00F017CF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na</w:t>
      </w:r>
      <w:proofErr w:type="spellEnd"/>
      <w:r w:rsidRPr="00F017CF"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mjesečnom</w:t>
      </w:r>
      <w:proofErr w:type="spellEnd"/>
      <w:r w:rsidRPr="00F017CF"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nivou</w:t>
      </w:r>
      <w:proofErr w:type="spellEnd"/>
      <w:r w:rsidRPr="00F017CF">
        <w:rPr>
          <w:rFonts w:ascii="Garamond" w:hAnsi="Garamond"/>
          <w:sz w:val="28"/>
          <w:szCs w:val="28"/>
        </w:rPr>
        <w:t xml:space="preserve">. </w:t>
      </w:r>
    </w:p>
    <w:p w:rsidR="002211A5" w:rsidRDefault="002211A5" w:rsidP="007C5E9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:rsidR="00503579" w:rsidRDefault="00503579" w:rsidP="009379C5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proofErr w:type="spellStart"/>
      <w:r w:rsidRPr="00503579">
        <w:rPr>
          <w:rFonts w:ascii="Garamond" w:hAnsi="Garamond"/>
          <w:b/>
          <w:sz w:val="28"/>
          <w:szCs w:val="28"/>
        </w:rPr>
        <w:t>Tržnica</w:t>
      </w:r>
      <w:proofErr w:type="spellEnd"/>
      <w:r w:rsidRPr="00503579">
        <w:rPr>
          <w:rFonts w:ascii="Garamond" w:hAnsi="Garamond"/>
          <w:b/>
          <w:sz w:val="28"/>
          <w:szCs w:val="28"/>
        </w:rPr>
        <w:t xml:space="preserve"> “Forum” </w:t>
      </w:r>
    </w:p>
    <w:p w:rsidR="00503579" w:rsidRDefault="00503579" w:rsidP="00503579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</w:p>
    <w:p w:rsidR="00503579" w:rsidRDefault="00503579" w:rsidP="005035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Poslovni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prostori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spratu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objekta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prodaja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robe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široke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potrošnje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892515" w:rsidRPr="00D31251" w:rsidRDefault="00503579" w:rsidP="009379C5">
      <w:pPr>
        <w:pStyle w:val="NormalWeb"/>
        <w:spacing w:before="0" w:beforeAutospacing="0" w:after="0" w:afterAutospacing="0"/>
        <w:ind w:firstLine="720"/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druge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zanatske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djelatnosti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to:</w:t>
      </w:r>
      <w:r w:rsidR="00D3125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D31251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D31251">
        <w:rPr>
          <w:rFonts w:ascii="Garamond" w:hAnsi="Garamond"/>
          <w:color w:val="000000"/>
          <w:sz w:val="28"/>
          <w:szCs w:val="28"/>
        </w:rPr>
        <w:t xml:space="preserve"> 1 </w:t>
      </w:r>
      <w:proofErr w:type="spellStart"/>
      <w:r w:rsidR="00D31251"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 w:rsidR="00D31251">
        <w:rPr>
          <w:rFonts w:ascii="Garamond" w:hAnsi="Garamond"/>
          <w:color w:val="000000"/>
          <w:sz w:val="28"/>
          <w:szCs w:val="28"/>
        </w:rPr>
        <w:t xml:space="preserve">: </w:t>
      </w:r>
      <w:r>
        <w:rPr>
          <w:rFonts w:ascii="Garamond" w:hAnsi="Garamond"/>
          <w:color w:val="000000"/>
          <w:sz w:val="28"/>
          <w:szCs w:val="28"/>
        </w:rPr>
        <w:t>8,31m²</w:t>
      </w:r>
      <w:r w:rsidR="00D31251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D31251">
        <w:rPr>
          <w:rFonts w:ascii="Garamond" w:hAnsi="Garamond"/>
          <w:color w:val="000000"/>
          <w:sz w:val="28"/>
          <w:szCs w:val="28"/>
        </w:rPr>
        <w:t>br</w:t>
      </w:r>
      <w:r w:rsidR="00D31251">
        <w:rPr>
          <w:rFonts w:ascii="Garamond" w:hAnsi="Garamond"/>
          <w:color w:val="000000"/>
          <w:sz w:val="28"/>
          <w:szCs w:val="28"/>
        </w:rPr>
        <w:t>oj</w:t>
      </w:r>
      <w:proofErr w:type="spellEnd"/>
      <w:r w:rsidR="00D31251">
        <w:rPr>
          <w:rFonts w:ascii="Garamond" w:hAnsi="Garamond"/>
          <w:color w:val="000000"/>
          <w:sz w:val="28"/>
          <w:szCs w:val="28"/>
        </w:rPr>
        <w:t xml:space="preserve"> </w:t>
      </w:r>
      <w:r w:rsidRPr="00D31251">
        <w:rPr>
          <w:rFonts w:ascii="Garamond" w:hAnsi="Garamond"/>
          <w:color w:val="000000"/>
          <w:sz w:val="28"/>
          <w:szCs w:val="28"/>
        </w:rPr>
        <w:t xml:space="preserve">5 </w:t>
      </w:r>
      <w:proofErr w:type="spellStart"/>
      <w:r w:rsidRPr="00D31251">
        <w:rPr>
          <w:rFonts w:ascii="Garamond" w:hAnsi="Garamond"/>
          <w:color w:val="000000"/>
          <w:sz w:val="28"/>
          <w:szCs w:val="28"/>
        </w:rPr>
        <w:t>povr</w:t>
      </w:r>
      <w:proofErr w:type="spellEnd"/>
      <w:r w:rsidRPr="00D31251">
        <w:rPr>
          <w:rFonts w:ascii="Garamond" w:hAnsi="Garamond"/>
          <w:color w:val="000000"/>
          <w:sz w:val="28"/>
          <w:szCs w:val="28"/>
          <w:lang w:val="sr-Latn-CS"/>
        </w:rPr>
        <w:t>šine:</w:t>
      </w:r>
      <w:r w:rsidR="00D31251">
        <w:rPr>
          <w:rFonts w:ascii="Garamond" w:hAnsi="Garamond"/>
          <w:color w:val="000000"/>
          <w:sz w:val="28"/>
          <w:szCs w:val="28"/>
          <w:lang w:val="sr-Latn-CS"/>
        </w:rPr>
        <w:t xml:space="preserve"> </w:t>
      </w:r>
      <w:r w:rsidRPr="00D31251">
        <w:rPr>
          <w:rFonts w:ascii="Garamond" w:hAnsi="Garamond"/>
          <w:color w:val="000000"/>
          <w:sz w:val="28"/>
          <w:szCs w:val="28"/>
          <w:lang w:val="sr-Latn-CS"/>
        </w:rPr>
        <w:t>8,13m²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br.6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9,04m²</w:t>
      </w:r>
      <w:r w:rsidR="00D31251"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brojevi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7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15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8,09m²</w:t>
      </w:r>
      <w:r w:rsidR="00D31251">
        <w:rPr>
          <w:rFonts w:ascii="Garamond" w:hAnsi="Garamond"/>
          <w:color w:val="000000"/>
          <w:sz w:val="28"/>
          <w:szCs w:val="28"/>
        </w:rPr>
        <w:t>,</w:t>
      </w:r>
      <w:r w:rsidR="00D31251"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br. 8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8,00m²</w:t>
      </w:r>
      <w:r w:rsidR="00D31251">
        <w:rPr>
          <w:rFonts w:ascii="Garamond" w:hAnsi="Garamond"/>
          <w:color w:val="000000"/>
          <w:sz w:val="28"/>
          <w:szCs w:val="28"/>
        </w:rPr>
        <w:t>,</w:t>
      </w:r>
      <w:r w:rsidR="00D31251"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brojevi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9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10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8,03m²</w:t>
      </w:r>
      <w:r w:rsidR="00D31251">
        <w:rPr>
          <w:rFonts w:ascii="Garamond" w:hAnsi="Garamond"/>
          <w:color w:val="000000"/>
          <w:sz w:val="28"/>
          <w:szCs w:val="28"/>
        </w:rPr>
        <w:t>,</w:t>
      </w:r>
      <w:r w:rsidR="00D31251"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br. 11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8,11m²</w:t>
      </w:r>
      <w:r w:rsidR="00D31251">
        <w:rPr>
          <w:rFonts w:ascii="Garamond" w:hAnsi="Garamond"/>
          <w:color w:val="000000"/>
          <w:sz w:val="28"/>
          <w:szCs w:val="28"/>
        </w:rPr>
        <w:t>,</w:t>
      </w:r>
      <w:r w:rsidR="00D31251"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br. 12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7,50m²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 13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6,91m²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br.14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7,10m²</w:t>
      </w:r>
      <w:r w:rsidR="00D31251"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brojevi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16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17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8,08m²</w:t>
      </w:r>
      <w:r w:rsidR="00D31251"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brojevi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18, 22, 23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24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7,96m²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br.25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7,33m²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>br.26 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8,01m²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br.27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8,06m²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br.28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7,91m²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br.29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8,25m²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br.30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8,15m²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 xml:space="preserve">br.31 </w:t>
      </w:r>
      <w:proofErr w:type="spellStart"/>
      <w:r>
        <w:rPr>
          <w:rFonts w:ascii="Garamond" w:hAnsi="Garamond"/>
          <w:color w:val="000000"/>
          <w:sz w:val="28"/>
          <w:szCs w:val="28"/>
        </w:rPr>
        <w:t>povšine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8,04m²</w:t>
      </w:r>
      <w:r w:rsidR="00D31251">
        <w:t xml:space="preserve">, </w:t>
      </w:r>
      <w:r>
        <w:rPr>
          <w:rFonts w:ascii="Garamond" w:hAnsi="Garamond"/>
          <w:color w:val="000000"/>
          <w:sz w:val="28"/>
          <w:szCs w:val="28"/>
        </w:rPr>
        <w:t>br.32 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>: 8,28m²</w:t>
      </w:r>
      <w:r w:rsidR="00D31251">
        <w:rPr>
          <w:rFonts w:ascii="Garamond" w:hAnsi="Garamond"/>
          <w:color w:val="000000"/>
          <w:sz w:val="28"/>
          <w:szCs w:val="28"/>
        </w:rPr>
        <w:t>.</w:t>
      </w:r>
      <w:r w:rsidR="009379C5"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Minimalna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zakupnine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iznosi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503579">
        <w:rPr>
          <w:rFonts w:ascii="Garamond" w:hAnsi="Garamond"/>
          <w:b/>
          <w:color w:val="000000"/>
          <w:sz w:val="28"/>
          <w:szCs w:val="28"/>
        </w:rPr>
        <w:t>25</w:t>
      </w:r>
      <w:proofErr w:type="gramStart"/>
      <w:r>
        <w:rPr>
          <w:rFonts w:ascii="Garamond" w:hAnsi="Garamond"/>
          <w:b/>
          <w:color w:val="000000"/>
          <w:sz w:val="28"/>
          <w:szCs w:val="28"/>
        </w:rPr>
        <w:t>,00</w:t>
      </w:r>
      <w:proofErr w:type="gramEnd"/>
      <w:r w:rsidRPr="00503579">
        <w:rPr>
          <w:rFonts w:ascii="Garamond" w:hAnsi="Garamond"/>
          <w:b/>
          <w:color w:val="000000"/>
          <w:sz w:val="28"/>
          <w:szCs w:val="28"/>
        </w:rPr>
        <w:t>€/m²</w:t>
      </w:r>
      <w:r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PDV-a).</w:t>
      </w:r>
      <w:r w:rsidR="0023138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231380"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D10F7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 </w:t>
      </w:r>
    </w:p>
    <w:p w:rsidR="00625E10" w:rsidRPr="00D77DF6" w:rsidRDefault="00625E1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8D10F7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postupk</w:t>
      </w:r>
      <w:r w:rsidR="007C5E9B" w:rsidRPr="009379C5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7C5E9B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625E10">
        <w:rPr>
          <w:rFonts w:ascii="Garamond" w:eastAsia="Garamond" w:hAnsi="Garamond" w:cs="Garamond"/>
          <w:sz w:val="28"/>
          <w:szCs w:val="28"/>
        </w:rPr>
        <w:t>1</w:t>
      </w:r>
      <w:r w:rsidRPr="00F470D0">
        <w:rPr>
          <w:rFonts w:ascii="Garamond" w:eastAsia="Garamond" w:hAnsi="Garamond" w:cs="Garamond"/>
          <w:sz w:val="28"/>
          <w:szCs w:val="28"/>
        </w:rPr>
        <w:t>00</w:t>
      </w:r>
      <w:proofErr w:type="gramStart"/>
      <w:r w:rsidRPr="00F470D0">
        <w:rPr>
          <w:rFonts w:ascii="Garamond" w:eastAsia="Garamond" w:hAnsi="Garamond" w:cs="Garamond"/>
          <w:sz w:val="28"/>
          <w:szCs w:val="28"/>
        </w:rPr>
        <w:t>,00</w:t>
      </w:r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470D0">
        <w:rPr>
          <w:rFonts w:ascii="Garamond" w:eastAsia="Garamond" w:hAnsi="Garamond" w:cs="Garamond"/>
          <w:sz w:val="28"/>
          <w:szCs w:val="28"/>
        </w:rPr>
        <w:t>eura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0</w:t>
      </w:r>
      <w:r w:rsidR="00625E10">
        <w:rPr>
          <w:rFonts w:ascii="Garamond" w:eastAsia="Garamond" w:hAnsi="Garamond" w:cs="Garamond"/>
          <w:sz w:val="28"/>
          <w:szCs w:val="28"/>
        </w:rPr>
        <w:t>5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/22“. </w:t>
      </w:r>
    </w:p>
    <w:p w:rsidR="007C5E9B" w:rsidRDefault="007C5E9B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892515" w:rsidRDefault="00107550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Prvorangiranom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625E10">
        <w:rPr>
          <w:rFonts w:ascii="Garamond" w:eastAsia="Garamond" w:hAnsi="Garamond" w:cs="Garamond"/>
          <w:b/>
          <w:sz w:val="28"/>
          <w:szCs w:val="28"/>
        </w:rPr>
        <w:t xml:space="preserve"> 05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="00C55B7B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C55B7B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C55B7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55B7B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C55B7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55B7B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C55B7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C55B7B"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C55B7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55B7B"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C55B7B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C55B7B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55B7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55B7B"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> </w:t>
      </w:r>
    </w:p>
    <w:p w:rsidR="009379C5" w:rsidRDefault="009379C5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9379C5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9379C5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DF2CD6" w:rsidRPr="001442B8" w:rsidRDefault="00DF2CD6" w:rsidP="00DF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Najveća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</w:t>
      </w:r>
      <w:r w:rsidR="00625E10">
        <w:rPr>
          <w:rFonts w:ascii="Garamond" w:eastAsia="Garamond" w:hAnsi="Garamond" w:cs="Garamond"/>
          <w:sz w:val="28"/>
          <w:szCs w:val="28"/>
        </w:rPr>
        <w:t>........</w:t>
      </w:r>
      <w:r w:rsidR="00107550">
        <w:rPr>
          <w:rFonts w:ascii="Garamond" w:eastAsia="Garamond" w:hAnsi="Garamond" w:cs="Garamond"/>
          <w:sz w:val="28"/>
          <w:szCs w:val="28"/>
        </w:rPr>
        <w:t>......</w:t>
      </w:r>
      <w:r>
        <w:rPr>
          <w:rFonts w:ascii="Garamond" w:eastAsia="Garamond" w:hAnsi="Garamond" w:cs="Garamond"/>
          <w:sz w:val="28"/>
          <w:szCs w:val="28"/>
        </w:rPr>
        <w:t>.......</w:t>
      </w:r>
      <w:r w:rsidR="00107550">
        <w:rPr>
          <w:rFonts w:ascii="Garamond" w:eastAsia="Garamond" w:hAnsi="Garamond" w:cs="Garamond"/>
          <w:sz w:val="28"/>
          <w:szCs w:val="28"/>
        </w:rPr>
        <w:t xml:space="preserve">100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 w:rsidR="00BE2C5A"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BE2C5A" w:rsidRDefault="00BE2C5A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prednost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ima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prva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zavedena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).</w:t>
      </w:r>
    </w:p>
    <w:p w:rsidR="00DF2CD6" w:rsidRP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5769E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769EA"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 w:rsidR="005769E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769EA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5769EA">
        <w:rPr>
          <w:rFonts w:ascii="Garamond" w:eastAsia="Garamond" w:hAnsi="Garamond" w:cs="Garamond"/>
          <w:sz w:val="28"/>
          <w:szCs w:val="28"/>
        </w:rPr>
        <w:t xml:space="preserve"> 23.03.2022.godine</w:t>
      </w:r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30.03.</w:t>
      </w:r>
      <w:r w:rsidR="005C6CDC" w:rsidRPr="002C4656">
        <w:rPr>
          <w:rFonts w:ascii="Garamond" w:eastAsia="Garamond" w:hAnsi="Garamond" w:cs="Garamond"/>
          <w:sz w:val="28"/>
          <w:szCs w:val="28"/>
        </w:rPr>
        <w:t>2022</w:t>
      </w:r>
      <w:r w:rsidR="009379C5">
        <w:rPr>
          <w:rFonts w:ascii="Garamond" w:eastAsia="Garamond" w:hAnsi="Garamond" w:cs="Garamond"/>
          <w:sz w:val="28"/>
          <w:szCs w:val="28"/>
        </w:rPr>
        <w:t>.godine do 10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poštovanje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sprječavanje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unošenja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zemlju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sprječavanje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prenošenja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novog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koronavirusa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Pr="00F470D0" w:rsidRDefault="00892515" w:rsidP="00F470D0">
      <w:pPr>
        <w:pStyle w:val="NoSpacing"/>
      </w:pPr>
    </w:p>
    <w:p w:rsidR="0089251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37CE7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r w:rsidR="00D31251">
        <w:rPr>
          <w:rFonts w:ascii="Garamond" w:eastAsia="Garamond" w:hAnsi="Garamond" w:cs="Garamond"/>
          <w:sz w:val="28"/>
          <w:szCs w:val="28"/>
        </w:rPr>
        <w:t>30.03.</w:t>
      </w:r>
      <w:r w:rsidR="009379C5">
        <w:rPr>
          <w:rFonts w:ascii="Garamond" w:eastAsia="Garamond" w:hAnsi="Garamond" w:cs="Garamond"/>
          <w:sz w:val="28"/>
          <w:szCs w:val="28"/>
        </w:rPr>
        <w:t>2022.godine u 10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625E10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>Usljed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aktuelnih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epidemioloških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pandemije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COVID 19,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prisutnih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sprovođenju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ograničen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prostornim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kapacitetima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način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obezbijedi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distance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najmanje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</w:t>
      </w:r>
      <w:r w:rsidR="00D8620E">
        <w:rPr>
          <w:rFonts w:ascii="Garamond" w:eastAsia="Garamond" w:hAnsi="Garamond" w:cs="Garamond"/>
          <w:sz w:val="28"/>
          <w:szCs w:val="28"/>
        </w:rPr>
        <w:t>va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8620E">
        <w:rPr>
          <w:rFonts w:ascii="Garamond" w:eastAsia="Garamond" w:hAnsi="Garamond" w:cs="Garamond"/>
          <w:sz w:val="28"/>
          <w:szCs w:val="28"/>
        </w:rPr>
        <w:t>metra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nošenja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maski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5769EA"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 w:rsidR="005769E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donošenja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625E10"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zakupninu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379C5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9379C5">
        <w:rPr>
          <w:rFonts w:ascii="Garamond" w:eastAsia="Garamond" w:hAnsi="Garamond" w:cs="Garamond"/>
          <w:sz w:val="28"/>
          <w:szCs w:val="28"/>
        </w:rPr>
        <w:t xml:space="preserve"> 020 625 424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892515">
      <w:bookmarkStart w:id="0" w:name="_GoBack"/>
      <w:bookmarkEnd w:id="0"/>
    </w:p>
    <w:sectPr w:rsidR="00892515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4AB37E8"/>
    <w:multiLevelType w:val="hybridMultilevel"/>
    <w:tmpl w:val="C13CCDF6"/>
    <w:lvl w:ilvl="0" w:tplc="C4FC96EE">
      <w:start w:val="1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2C737A"/>
    <w:multiLevelType w:val="hybridMultilevel"/>
    <w:tmpl w:val="B05EBD8E"/>
    <w:lvl w:ilvl="0" w:tplc="78F0281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98B"/>
    <w:multiLevelType w:val="hybridMultilevel"/>
    <w:tmpl w:val="D030589A"/>
    <w:lvl w:ilvl="0" w:tplc="915AC0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C7746"/>
    <w:multiLevelType w:val="hybridMultilevel"/>
    <w:tmpl w:val="2E642D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B0AF7"/>
    <w:multiLevelType w:val="hybridMultilevel"/>
    <w:tmpl w:val="BF9AEC2E"/>
    <w:lvl w:ilvl="0" w:tplc="08424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515"/>
    <w:rsid w:val="0004030E"/>
    <w:rsid w:val="00062FDC"/>
    <w:rsid w:val="00072C40"/>
    <w:rsid w:val="000C4D73"/>
    <w:rsid w:val="000F23E6"/>
    <w:rsid w:val="00107550"/>
    <w:rsid w:val="001442B8"/>
    <w:rsid w:val="001544B2"/>
    <w:rsid w:val="001E1FEB"/>
    <w:rsid w:val="001E2CC5"/>
    <w:rsid w:val="002211A5"/>
    <w:rsid w:val="002277E3"/>
    <w:rsid w:val="00231380"/>
    <w:rsid w:val="00243655"/>
    <w:rsid w:val="00264F0C"/>
    <w:rsid w:val="00291EB3"/>
    <w:rsid w:val="002B713D"/>
    <w:rsid w:val="002C4656"/>
    <w:rsid w:val="002E3FAE"/>
    <w:rsid w:val="00337EC3"/>
    <w:rsid w:val="003C5875"/>
    <w:rsid w:val="004A3B79"/>
    <w:rsid w:val="004B20F2"/>
    <w:rsid w:val="004C7D8B"/>
    <w:rsid w:val="00503579"/>
    <w:rsid w:val="00540A3C"/>
    <w:rsid w:val="005769EA"/>
    <w:rsid w:val="005C6CDC"/>
    <w:rsid w:val="00625E10"/>
    <w:rsid w:val="00652FB6"/>
    <w:rsid w:val="00661C0A"/>
    <w:rsid w:val="00667EFD"/>
    <w:rsid w:val="006B39AF"/>
    <w:rsid w:val="007C5E9B"/>
    <w:rsid w:val="008120A5"/>
    <w:rsid w:val="00852FC0"/>
    <w:rsid w:val="00892515"/>
    <w:rsid w:val="008D10F7"/>
    <w:rsid w:val="009379C5"/>
    <w:rsid w:val="00A9601E"/>
    <w:rsid w:val="00B24D06"/>
    <w:rsid w:val="00BE2C5A"/>
    <w:rsid w:val="00BF14E5"/>
    <w:rsid w:val="00C55B7B"/>
    <w:rsid w:val="00C96C0D"/>
    <w:rsid w:val="00D31251"/>
    <w:rsid w:val="00D77DF6"/>
    <w:rsid w:val="00D8620E"/>
    <w:rsid w:val="00DE1A6B"/>
    <w:rsid w:val="00DF2CD6"/>
    <w:rsid w:val="00E00F73"/>
    <w:rsid w:val="00E11E11"/>
    <w:rsid w:val="00E6562F"/>
    <w:rsid w:val="00EA055E"/>
    <w:rsid w:val="00ED662E"/>
    <w:rsid w:val="00F017CF"/>
    <w:rsid w:val="00F37CE7"/>
    <w:rsid w:val="00F470D0"/>
    <w:rsid w:val="00F5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FAE"/>
  </w:style>
  <w:style w:type="paragraph" w:styleId="Heading1">
    <w:name w:val="heading 1"/>
    <w:basedOn w:val="Normal"/>
    <w:next w:val="Normal"/>
    <w:rsid w:val="002E3F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E3F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E3F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E3F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E3F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E3F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3F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E3FA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Spacing">
    <w:name w:val="No Spacing"/>
    <w:uiPriority w:val="1"/>
    <w:qFormat/>
    <w:rsid w:val="00F470D0"/>
    <w:pPr>
      <w:spacing w:line="240" w:lineRule="auto"/>
    </w:pPr>
  </w:style>
  <w:style w:type="paragraph" w:styleId="NormalWeb">
    <w:name w:val="Normal (Web)"/>
    <w:basedOn w:val="Normal"/>
    <w:rsid w:val="00F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2</cp:revision>
  <cp:lastPrinted>2022-03-22T13:44:00Z</cp:lastPrinted>
  <dcterms:created xsi:type="dcterms:W3CDTF">2022-03-22T13:53:00Z</dcterms:created>
  <dcterms:modified xsi:type="dcterms:W3CDTF">2022-03-22T13:53:00Z</dcterms:modified>
</cp:coreProperties>
</file>